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0420B" w14:textId="2F19FC36" w:rsidR="00594AE0" w:rsidRDefault="00E656C9" w:rsidP="002656E5">
      <w:pPr>
        <w:jc w:val="center"/>
        <w:rPr>
          <w:rFonts w:ascii="Calibri" w:eastAsia="Calibri" w:hAnsi="Calibri" w:cs="Calibri"/>
          <w:b/>
          <w:bCs/>
        </w:rPr>
      </w:pPr>
      <w:bookmarkStart w:id="0" w:name="_GoBack"/>
      <w:bookmarkEnd w:id="0"/>
      <w:r>
        <w:rPr>
          <w:noProof/>
        </w:rPr>
        <w:drawing>
          <wp:inline distT="0" distB="0" distL="0" distR="0" wp14:anchorId="3D8EC9EA" wp14:editId="3AF80574">
            <wp:extent cx="2440774" cy="864441"/>
            <wp:effectExtent l="0" t="0" r="0" b="0"/>
            <wp:docPr id="1781766223" name="Picture 1781766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774" cy="864441"/>
                    </a:xfrm>
                    <a:prstGeom prst="rect">
                      <a:avLst/>
                    </a:prstGeom>
                  </pic:spPr>
                </pic:pic>
              </a:graphicData>
            </a:graphic>
          </wp:inline>
        </w:drawing>
      </w:r>
      <w:r>
        <w:rPr>
          <w:noProof/>
        </w:rPr>
        <w:drawing>
          <wp:inline distT="0" distB="0" distL="0" distR="0" wp14:anchorId="33BEBCC0" wp14:editId="21619D48">
            <wp:extent cx="1718853" cy="1063540"/>
            <wp:effectExtent l="0" t="0" r="0" b="0"/>
            <wp:docPr id="270725042" name="Picture 270725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8853" cy="1063540"/>
                    </a:xfrm>
                    <a:prstGeom prst="rect">
                      <a:avLst/>
                    </a:prstGeom>
                  </pic:spPr>
                </pic:pic>
              </a:graphicData>
            </a:graphic>
          </wp:inline>
        </w:drawing>
      </w:r>
      <w:r>
        <w:rPr>
          <w:noProof/>
        </w:rPr>
        <w:drawing>
          <wp:inline distT="0" distB="0" distL="0" distR="0" wp14:anchorId="49394744" wp14:editId="4DCB7701">
            <wp:extent cx="1381125" cy="1381125"/>
            <wp:effectExtent l="0" t="0" r="0" b="0"/>
            <wp:docPr id="1197724183" name="Picture 119772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p w14:paraId="5B88CDCC" w14:textId="5AE0C1A6" w:rsidR="00594AE0" w:rsidRDefault="52079C54" w:rsidP="52079C54">
      <w:pPr>
        <w:jc w:val="center"/>
        <w:rPr>
          <w:rFonts w:ascii="Calibri" w:eastAsia="Calibri" w:hAnsi="Calibri" w:cs="Calibri"/>
          <w:b/>
          <w:bCs/>
          <w:sz w:val="28"/>
          <w:szCs w:val="28"/>
        </w:rPr>
      </w:pPr>
      <w:r w:rsidRPr="52079C54">
        <w:rPr>
          <w:rFonts w:ascii="Calibri" w:eastAsia="Calibri" w:hAnsi="Calibri" w:cs="Calibri"/>
          <w:b/>
          <w:bCs/>
          <w:sz w:val="24"/>
          <w:szCs w:val="24"/>
        </w:rPr>
        <w:t>AB 686 (Arambula) California Community-Based Behavioral Health Outcomes and Accountability Review Fact Sheet</w:t>
      </w:r>
    </w:p>
    <w:p w14:paraId="33731879" w14:textId="77777777" w:rsidR="002656E5" w:rsidRDefault="002656E5" w:rsidP="52079C54">
      <w:pPr>
        <w:rPr>
          <w:rFonts w:ascii="Calibri" w:eastAsia="Calibri" w:hAnsi="Calibri" w:cs="Calibri"/>
          <w:b/>
          <w:bCs/>
          <w:u w:val="single"/>
        </w:rPr>
        <w:sectPr w:rsidR="002656E5" w:rsidSect="002656E5">
          <w:headerReference w:type="default" r:id="rId11"/>
          <w:footerReference w:type="default" r:id="rId12"/>
          <w:pgSz w:w="12240" w:h="15840"/>
          <w:pgMar w:top="720" w:right="720" w:bottom="720" w:left="720" w:header="720" w:footer="720" w:gutter="0"/>
          <w:cols w:space="720"/>
          <w:docGrid w:linePitch="360"/>
        </w:sectPr>
      </w:pPr>
    </w:p>
    <w:p w14:paraId="0DEEB13A" w14:textId="77777777" w:rsidR="00AC592F" w:rsidRPr="00400BD2" w:rsidRDefault="52079C54" w:rsidP="00AC592F">
      <w:pPr>
        <w:spacing w:after="0"/>
        <w:rPr>
          <w:rFonts w:ascii="Calibri" w:eastAsia="Calibri" w:hAnsi="Calibri" w:cs="Calibri"/>
          <w:b/>
          <w:bCs/>
          <w:sz w:val="21"/>
          <w:szCs w:val="21"/>
        </w:rPr>
      </w:pPr>
      <w:r w:rsidRPr="00400BD2">
        <w:rPr>
          <w:rFonts w:ascii="Calibri" w:eastAsia="Calibri" w:hAnsi="Calibri" w:cs="Calibri"/>
          <w:b/>
          <w:bCs/>
          <w:sz w:val="21"/>
          <w:szCs w:val="21"/>
          <w:u w:val="single"/>
        </w:rPr>
        <w:lastRenderedPageBreak/>
        <w:t>Background</w:t>
      </w:r>
    </w:p>
    <w:p w14:paraId="538A0FCE" w14:textId="06101430" w:rsidR="00651787" w:rsidRDefault="52079C54" w:rsidP="00AC592F">
      <w:pPr>
        <w:spacing w:after="0"/>
        <w:rPr>
          <w:rFonts w:ascii="Calibri" w:eastAsia="Calibri" w:hAnsi="Calibri" w:cs="Calibri"/>
          <w:sz w:val="21"/>
          <w:szCs w:val="21"/>
        </w:rPr>
      </w:pPr>
      <w:r w:rsidRPr="00400BD2">
        <w:rPr>
          <w:rFonts w:ascii="Calibri" w:eastAsia="Calibri" w:hAnsi="Calibri" w:cs="Calibri"/>
          <w:sz w:val="21"/>
          <w:szCs w:val="21"/>
        </w:rPr>
        <w:t xml:space="preserve">Behavioral health inequities across Black, Indigenous, communities of color (BIPOC) communities are unjust, intergenerational, and given the lack of investment, continue to persist despite California’s long stated goals of equity. COVID-19 has exponentially amplified these behavioral health disparities across BIPOC communities. </w:t>
      </w:r>
    </w:p>
    <w:p w14:paraId="2F07A40B" w14:textId="7E53B784" w:rsidR="00651787" w:rsidRDefault="00651787" w:rsidP="00AC592F">
      <w:pPr>
        <w:spacing w:after="0"/>
        <w:rPr>
          <w:rFonts w:ascii="Calibri" w:eastAsia="Calibri" w:hAnsi="Calibri" w:cs="Calibri"/>
          <w:sz w:val="21"/>
          <w:szCs w:val="21"/>
        </w:rPr>
      </w:pPr>
      <w:r w:rsidRPr="00651787">
        <w:rPr>
          <w:rFonts w:ascii="Calibri" w:eastAsia="Calibri" w:hAnsi="Calibri" w:cs="Calibri"/>
          <w:sz w:val="21"/>
          <w:szCs w:val="21"/>
        </w:rPr>
        <w:t>The absence of uniform statewide performance measures in behavioral health- which encompasses mental health and substance use- has severely limited the ability of the state to hold the county behavioral health safety net accountable for these disparities.</w:t>
      </w:r>
    </w:p>
    <w:p w14:paraId="3FDFCC4E" w14:textId="77777777" w:rsidR="00AC592F" w:rsidRPr="00400BD2" w:rsidRDefault="00AC592F" w:rsidP="00AC592F">
      <w:pPr>
        <w:spacing w:after="0"/>
        <w:rPr>
          <w:rFonts w:ascii="Calibri" w:eastAsia="Calibri" w:hAnsi="Calibri" w:cs="Calibri"/>
          <w:b/>
          <w:bCs/>
          <w:sz w:val="21"/>
          <w:szCs w:val="21"/>
          <w:u w:val="single"/>
        </w:rPr>
      </w:pPr>
    </w:p>
    <w:p w14:paraId="1C19634D" w14:textId="2A815D2A" w:rsidR="00594AE0" w:rsidRPr="00400BD2" w:rsidRDefault="52079C54" w:rsidP="00AC592F">
      <w:pPr>
        <w:spacing w:after="0"/>
        <w:rPr>
          <w:rFonts w:ascii="Calibri" w:eastAsia="Calibri" w:hAnsi="Calibri" w:cs="Calibri"/>
          <w:sz w:val="21"/>
          <w:szCs w:val="21"/>
        </w:rPr>
      </w:pPr>
      <w:r w:rsidRPr="00400BD2">
        <w:rPr>
          <w:rFonts w:ascii="Calibri" w:eastAsia="Calibri" w:hAnsi="Calibri" w:cs="Calibri"/>
          <w:b/>
          <w:bCs/>
          <w:sz w:val="21"/>
          <w:szCs w:val="21"/>
          <w:u w:val="single"/>
        </w:rPr>
        <w:t>Issue/Current Law</w:t>
      </w:r>
    </w:p>
    <w:p w14:paraId="284D7BCB" w14:textId="6DA232E6" w:rsidR="00594AE0" w:rsidRPr="00400BD2" w:rsidRDefault="52079C54" w:rsidP="00AC592F">
      <w:pPr>
        <w:spacing w:after="0"/>
        <w:rPr>
          <w:rFonts w:ascii="Calibri" w:eastAsia="Calibri" w:hAnsi="Calibri" w:cs="Calibri"/>
          <w:sz w:val="21"/>
          <w:szCs w:val="21"/>
        </w:rPr>
      </w:pPr>
      <w:r w:rsidRPr="00400BD2">
        <w:rPr>
          <w:rFonts w:ascii="Calibri" w:eastAsia="Calibri" w:hAnsi="Calibri" w:cs="Calibri"/>
          <w:sz w:val="21"/>
          <w:szCs w:val="21"/>
        </w:rPr>
        <w:t xml:space="preserve">Current behavioral performance measures are out of alignment with California’s BIPOC and LGBTQ+ communities. </w:t>
      </w:r>
      <w:r w:rsidR="00BB0485" w:rsidRPr="00BB0485">
        <w:rPr>
          <w:rFonts w:ascii="Calibri" w:eastAsia="Calibri" w:hAnsi="Calibri" w:cs="Calibri"/>
          <w:sz w:val="21"/>
          <w:szCs w:val="21"/>
        </w:rPr>
        <w:t xml:space="preserve">While reporting is extensive, </w:t>
      </w:r>
      <w:r w:rsidR="00BB0485">
        <w:rPr>
          <w:rFonts w:ascii="Calibri" w:eastAsia="Calibri" w:hAnsi="Calibri" w:cs="Calibri"/>
          <w:sz w:val="21"/>
          <w:szCs w:val="21"/>
        </w:rPr>
        <w:t>Califo</w:t>
      </w:r>
      <w:r w:rsidR="00BB0485" w:rsidRPr="00D565B8">
        <w:rPr>
          <w:rFonts w:ascii="Calibri" w:eastAsia="Calibri" w:hAnsi="Calibri" w:cs="Calibri"/>
          <w:sz w:val="21"/>
          <w:szCs w:val="21"/>
        </w:rPr>
        <w:t xml:space="preserve">rnia’s behavioral health system still contain gaps in understanding how effective existing services are. </w:t>
      </w:r>
      <w:r w:rsidR="00BB0485" w:rsidRPr="00BB0485">
        <w:rPr>
          <w:rFonts w:ascii="Calibri" w:eastAsia="Calibri" w:hAnsi="Calibri" w:cs="Calibri"/>
          <w:sz w:val="21"/>
          <w:szCs w:val="21"/>
        </w:rPr>
        <w:t xml:space="preserve"> </w:t>
      </w:r>
    </w:p>
    <w:p w14:paraId="2B0966D1" w14:textId="77777777" w:rsidR="00AC592F" w:rsidRPr="00400BD2" w:rsidRDefault="00AC592F" w:rsidP="00AC592F">
      <w:pPr>
        <w:spacing w:after="0"/>
        <w:rPr>
          <w:rFonts w:ascii="Calibri" w:eastAsia="Calibri" w:hAnsi="Calibri" w:cs="Calibri"/>
          <w:b/>
          <w:bCs/>
          <w:sz w:val="21"/>
          <w:szCs w:val="21"/>
          <w:u w:val="single"/>
        </w:rPr>
      </w:pPr>
    </w:p>
    <w:p w14:paraId="2C078E63" w14:textId="07ADA115" w:rsidR="00594AE0" w:rsidRPr="00400BD2" w:rsidRDefault="52079C54" w:rsidP="00AC592F">
      <w:pPr>
        <w:spacing w:after="0"/>
        <w:rPr>
          <w:rFonts w:ascii="Calibri" w:eastAsia="Calibri" w:hAnsi="Calibri" w:cs="Calibri"/>
          <w:b/>
          <w:bCs/>
          <w:sz w:val="21"/>
          <w:szCs w:val="21"/>
          <w:u w:val="single"/>
        </w:rPr>
      </w:pPr>
      <w:r w:rsidRPr="00400BD2">
        <w:rPr>
          <w:rFonts w:ascii="Calibri" w:eastAsia="Calibri" w:hAnsi="Calibri" w:cs="Calibri"/>
          <w:b/>
          <w:bCs/>
          <w:sz w:val="21"/>
          <w:szCs w:val="21"/>
          <w:u w:val="single"/>
        </w:rPr>
        <w:t>This Bill</w:t>
      </w:r>
    </w:p>
    <w:p w14:paraId="5D232E95" w14:textId="02878FDA" w:rsidR="52079C54" w:rsidRPr="00400BD2" w:rsidRDefault="52079C54" w:rsidP="00AC592F">
      <w:pPr>
        <w:spacing w:after="0"/>
        <w:rPr>
          <w:rFonts w:ascii="Calibri" w:eastAsia="Calibri" w:hAnsi="Calibri" w:cs="Calibri"/>
          <w:sz w:val="21"/>
          <w:szCs w:val="21"/>
        </w:rPr>
      </w:pPr>
      <w:r w:rsidRPr="00400BD2">
        <w:rPr>
          <w:rFonts w:ascii="Calibri" w:eastAsia="Calibri" w:hAnsi="Calibri" w:cs="Calibri"/>
          <w:sz w:val="21"/>
          <w:szCs w:val="21"/>
        </w:rPr>
        <w:t xml:space="preserve">AB 686 would establish a clear process for stakeholders, including underserved communities like BIPOC and LGBTQ+ individuals, to develop </w:t>
      </w:r>
      <w:r w:rsidR="00BB0485">
        <w:rPr>
          <w:rFonts w:ascii="Calibri" w:eastAsia="Calibri" w:hAnsi="Calibri" w:cs="Calibri"/>
          <w:sz w:val="21"/>
          <w:szCs w:val="21"/>
        </w:rPr>
        <w:t xml:space="preserve">a </w:t>
      </w:r>
      <w:r w:rsidR="00BB0485" w:rsidRPr="00BB0485">
        <w:rPr>
          <w:rFonts w:ascii="Calibri" w:eastAsia="Calibri" w:hAnsi="Calibri" w:cs="Calibri"/>
          <w:sz w:val="21"/>
          <w:szCs w:val="21"/>
        </w:rPr>
        <w:t xml:space="preserve">comprehensive system to evaluate the behavioral health safety </w:t>
      </w:r>
      <w:r w:rsidRPr="00400BD2">
        <w:rPr>
          <w:rFonts w:ascii="Calibri" w:eastAsia="Calibri" w:hAnsi="Calibri" w:cs="Calibri"/>
          <w:sz w:val="21"/>
          <w:szCs w:val="21"/>
        </w:rPr>
        <w:t>that can measure, improve, and evaluate behavioral health equity. Effectively and comprehensively monitoring mental health disparities, access, and quality will enable the state to reduce disparities, improve quality, increase access and reduce cost.</w:t>
      </w:r>
    </w:p>
    <w:p w14:paraId="593654B1" w14:textId="77777777" w:rsidR="00AC592F" w:rsidRPr="00400BD2" w:rsidRDefault="00AC592F" w:rsidP="00AC592F">
      <w:pPr>
        <w:spacing w:after="0"/>
        <w:rPr>
          <w:rFonts w:ascii="Calibri" w:eastAsia="Calibri" w:hAnsi="Calibri" w:cs="Calibri"/>
          <w:sz w:val="21"/>
          <w:szCs w:val="21"/>
        </w:rPr>
      </w:pPr>
    </w:p>
    <w:p w14:paraId="47D1D870" w14:textId="22BA1EA5" w:rsidR="52079C54" w:rsidRPr="00400BD2" w:rsidRDefault="52079C54" w:rsidP="00AC592F">
      <w:pPr>
        <w:spacing w:after="0"/>
        <w:rPr>
          <w:rFonts w:ascii="Calibri" w:eastAsia="Calibri" w:hAnsi="Calibri" w:cs="Calibri"/>
          <w:sz w:val="21"/>
          <w:szCs w:val="21"/>
        </w:rPr>
      </w:pPr>
      <w:r w:rsidRPr="00400BD2">
        <w:rPr>
          <w:rFonts w:ascii="Calibri" w:eastAsia="Calibri" w:hAnsi="Calibri" w:cs="Calibri"/>
          <w:sz w:val="21"/>
          <w:szCs w:val="21"/>
        </w:rPr>
        <w:t xml:space="preserve">Specifically, this bill will: </w:t>
      </w:r>
    </w:p>
    <w:p w14:paraId="32744C68" w14:textId="7ABFEC53" w:rsidR="52079C54" w:rsidRPr="00400BD2" w:rsidRDefault="52079C54" w:rsidP="00AC592F">
      <w:pPr>
        <w:pStyle w:val="ListParagraph"/>
        <w:numPr>
          <w:ilvl w:val="0"/>
          <w:numId w:val="1"/>
        </w:numPr>
        <w:spacing w:after="0"/>
        <w:rPr>
          <w:rFonts w:eastAsiaTheme="minorEastAsia"/>
          <w:sz w:val="21"/>
          <w:szCs w:val="21"/>
        </w:rPr>
      </w:pPr>
      <w:r w:rsidRPr="00400BD2">
        <w:rPr>
          <w:rFonts w:ascii="Calibri" w:eastAsia="Calibri" w:hAnsi="Calibri" w:cs="Calibri"/>
          <w:sz w:val="21"/>
          <w:szCs w:val="21"/>
        </w:rPr>
        <w:t xml:space="preserve">Task </w:t>
      </w:r>
      <w:r w:rsidR="00BB0485">
        <w:rPr>
          <w:rFonts w:ascii="Calibri" w:eastAsia="Calibri" w:hAnsi="Calibri" w:cs="Calibri"/>
          <w:sz w:val="21"/>
          <w:szCs w:val="21"/>
        </w:rPr>
        <w:t>a</w:t>
      </w:r>
      <w:r w:rsidR="00BB0485" w:rsidRPr="00400BD2">
        <w:rPr>
          <w:rFonts w:ascii="Calibri" w:eastAsia="Calibri" w:hAnsi="Calibri" w:cs="Calibri"/>
          <w:sz w:val="21"/>
          <w:szCs w:val="21"/>
        </w:rPr>
        <w:t xml:space="preserve"> </w:t>
      </w:r>
      <w:r w:rsidRPr="00400BD2">
        <w:rPr>
          <w:rFonts w:ascii="Calibri" w:eastAsia="Calibri" w:hAnsi="Calibri" w:cs="Calibri"/>
          <w:sz w:val="21"/>
          <w:szCs w:val="21"/>
        </w:rPr>
        <w:t xml:space="preserve">workgroup under the California Health and Human Services Agency (CHHS) to identify a set of </w:t>
      </w:r>
      <w:r w:rsidRPr="00400BD2">
        <w:rPr>
          <w:rFonts w:ascii="Calibri" w:eastAsia="Calibri" w:hAnsi="Calibri" w:cs="Calibri"/>
          <w:sz w:val="21"/>
          <w:szCs w:val="21"/>
        </w:rPr>
        <w:lastRenderedPageBreak/>
        <w:t xml:space="preserve">measures the State and counties shall use to reduce behavioral health disparities and improve behavioral health equity. </w:t>
      </w:r>
    </w:p>
    <w:p w14:paraId="5A2FAE2A" w14:textId="735C77DD" w:rsidR="52079C54" w:rsidRPr="00400BD2" w:rsidRDefault="52079C54" w:rsidP="00AC592F">
      <w:pPr>
        <w:pStyle w:val="ListParagraph"/>
        <w:numPr>
          <w:ilvl w:val="0"/>
          <w:numId w:val="1"/>
        </w:numPr>
        <w:spacing w:after="0"/>
        <w:rPr>
          <w:sz w:val="21"/>
          <w:szCs w:val="21"/>
        </w:rPr>
      </w:pPr>
      <w:r w:rsidRPr="00400BD2">
        <w:rPr>
          <w:rFonts w:ascii="Calibri" w:eastAsia="Calibri" w:hAnsi="Calibri" w:cs="Calibri"/>
          <w:sz w:val="21"/>
          <w:szCs w:val="21"/>
        </w:rPr>
        <w:t>Center community-defined, culturally centered and consumer focused practices that can offer a role in the State’s efforts to reduce behavioral health disparities and advance behavioral health equity.</w:t>
      </w:r>
    </w:p>
    <w:p w14:paraId="29C9171A" w14:textId="7D9A21C7" w:rsidR="52079C54" w:rsidRPr="00400BD2" w:rsidRDefault="52079C54" w:rsidP="00AC592F">
      <w:pPr>
        <w:pStyle w:val="ListParagraph"/>
        <w:numPr>
          <w:ilvl w:val="0"/>
          <w:numId w:val="1"/>
        </w:numPr>
        <w:spacing w:after="0"/>
        <w:rPr>
          <w:rFonts w:eastAsiaTheme="minorEastAsia"/>
          <w:sz w:val="21"/>
          <w:szCs w:val="21"/>
        </w:rPr>
      </w:pPr>
      <w:r w:rsidRPr="00400BD2">
        <w:rPr>
          <w:rFonts w:ascii="Calibri" w:eastAsia="Calibri" w:hAnsi="Calibri" w:cs="Calibri"/>
          <w:sz w:val="21"/>
          <w:szCs w:val="21"/>
        </w:rPr>
        <w:t>Require the new methodology to take into account cross-system measures related to wellbeing and social determinants of health, including but not limited to other Medi-Cal delivery systems, housing status, education, employment, justice involvement and any quantifiable disparities.</w:t>
      </w:r>
    </w:p>
    <w:p w14:paraId="2B61CFC5" w14:textId="10B95ECB" w:rsidR="52079C54" w:rsidRPr="00400BD2" w:rsidRDefault="52079C54" w:rsidP="00AC592F">
      <w:pPr>
        <w:pStyle w:val="ListParagraph"/>
        <w:numPr>
          <w:ilvl w:val="0"/>
          <w:numId w:val="1"/>
        </w:numPr>
        <w:spacing w:after="0"/>
        <w:rPr>
          <w:rFonts w:eastAsiaTheme="minorEastAsia"/>
          <w:sz w:val="21"/>
          <w:szCs w:val="21"/>
        </w:rPr>
      </w:pPr>
      <w:r w:rsidRPr="00400BD2">
        <w:rPr>
          <w:rFonts w:ascii="Calibri" w:eastAsia="Calibri" w:hAnsi="Calibri" w:cs="Calibri"/>
          <w:sz w:val="21"/>
          <w:szCs w:val="21"/>
        </w:rPr>
        <w:t>Require the workgroup to develop a standard, statewide method for counties to collect race, ethnicity, language, sexual orientation, and gender identify to provide the state and stakeholders more robust data.</w:t>
      </w:r>
    </w:p>
    <w:p w14:paraId="613BEE0C" w14:textId="2598B205" w:rsidR="52079C54" w:rsidRPr="00400BD2" w:rsidRDefault="52079C54" w:rsidP="00AC592F">
      <w:pPr>
        <w:pStyle w:val="ListParagraph"/>
        <w:numPr>
          <w:ilvl w:val="0"/>
          <w:numId w:val="1"/>
        </w:numPr>
        <w:spacing w:after="0"/>
        <w:rPr>
          <w:rFonts w:eastAsiaTheme="minorEastAsia"/>
          <w:sz w:val="21"/>
          <w:szCs w:val="21"/>
        </w:rPr>
      </w:pPr>
      <w:r w:rsidRPr="00400BD2">
        <w:rPr>
          <w:rFonts w:ascii="Calibri" w:eastAsia="Calibri" w:hAnsi="Calibri" w:cs="Calibri"/>
          <w:sz w:val="21"/>
          <w:szCs w:val="21"/>
        </w:rPr>
        <w:t>Inform and guide local stakeholders to assess the performance of counties on the established measures and inform a system improvement plan, which will require the county to describe how it will improve its behavioral health services with a focus on equity and reducing disparities.</w:t>
      </w:r>
    </w:p>
    <w:p w14:paraId="0F45D0C6" w14:textId="6CC4FC11" w:rsidR="00383421" w:rsidRPr="00400BD2" w:rsidRDefault="52079C54" w:rsidP="00AC592F">
      <w:pPr>
        <w:pStyle w:val="ListParagraph"/>
        <w:numPr>
          <w:ilvl w:val="0"/>
          <w:numId w:val="1"/>
        </w:numPr>
        <w:spacing w:after="0"/>
        <w:rPr>
          <w:rFonts w:eastAsiaTheme="minorEastAsia"/>
          <w:sz w:val="21"/>
          <w:szCs w:val="21"/>
        </w:rPr>
      </w:pPr>
      <w:r w:rsidRPr="00400BD2">
        <w:rPr>
          <w:rFonts w:ascii="Calibri" w:eastAsia="Calibri" w:hAnsi="Calibri" w:cs="Calibri"/>
          <w:sz w:val="21"/>
          <w:szCs w:val="21"/>
        </w:rPr>
        <w:t>Require the behavioral health system improvement plan to include a peer services review element where one community can provide insight and technical assistance to another community.</w:t>
      </w:r>
    </w:p>
    <w:p w14:paraId="50497E62" w14:textId="77777777" w:rsidR="002656E5" w:rsidRPr="00400BD2" w:rsidRDefault="002656E5" w:rsidP="00383421">
      <w:pPr>
        <w:rPr>
          <w:sz w:val="21"/>
          <w:szCs w:val="21"/>
        </w:rPr>
        <w:sectPr w:rsidR="002656E5" w:rsidRPr="00400BD2" w:rsidSect="002656E5">
          <w:type w:val="continuous"/>
          <w:pgSz w:w="12240" w:h="15840"/>
          <w:pgMar w:top="720" w:right="720" w:bottom="720" w:left="720" w:header="720" w:footer="720" w:gutter="0"/>
          <w:cols w:num="2" w:space="720"/>
          <w:docGrid w:linePitch="360"/>
        </w:sectPr>
      </w:pPr>
    </w:p>
    <w:p w14:paraId="57511DAE" w14:textId="77777777" w:rsidR="002656E5" w:rsidRPr="00400BD2" w:rsidRDefault="002656E5" w:rsidP="00383421">
      <w:pPr>
        <w:rPr>
          <w:sz w:val="21"/>
          <w:szCs w:val="21"/>
        </w:rPr>
      </w:pPr>
    </w:p>
    <w:p w14:paraId="5C07142E" w14:textId="2E8249AC" w:rsidR="52079C54" w:rsidRPr="00400BD2" w:rsidRDefault="00383421" w:rsidP="002656E5">
      <w:pPr>
        <w:jc w:val="center"/>
        <w:rPr>
          <w:sz w:val="21"/>
          <w:szCs w:val="21"/>
        </w:rPr>
      </w:pPr>
      <w:r w:rsidRPr="00400BD2">
        <w:rPr>
          <w:sz w:val="21"/>
          <w:szCs w:val="21"/>
        </w:rPr>
        <w:t xml:space="preserve">For questions, please contact Ronald Coleman at </w:t>
      </w:r>
      <w:hyperlink r:id="rId13" w:history="1">
        <w:r w:rsidRPr="00400BD2">
          <w:rPr>
            <w:rStyle w:val="Hyperlink"/>
            <w:sz w:val="21"/>
            <w:szCs w:val="21"/>
          </w:rPr>
          <w:t>rcoleman@cpehn.org</w:t>
        </w:r>
      </w:hyperlink>
      <w:r w:rsidRPr="00400BD2">
        <w:rPr>
          <w:sz w:val="21"/>
          <w:szCs w:val="21"/>
        </w:rPr>
        <w:t xml:space="preserve"> or call 916-447-1299 ext. 104</w:t>
      </w:r>
    </w:p>
    <w:sectPr w:rsidR="52079C54" w:rsidRPr="00400BD2" w:rsidSect="002656E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14993" w14:textId="77777777" w:rsidR="006A5BD4" w:rsidRDefault="006A5BD4">
      <w:pPr>
        <w:spacing w:after="0" w:line="240" w:lineRule="auto"/>
      </w:pPr>
      <w:r>
        <w:separator/>
      </w:r>
    </w:p>
  </w:endnote>
  <w:endnote w:type="continuationSeparator" w:id="0">
    <w:p w14:paraId="13A4C495" w14:textId="77777777" w:rsidR="006A5BD4" w:rsidRDefault="006A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2079C54" w14:paraId="75C5803D" w14:textId="77777777" w:rsidTr="52079C54">
      <w:tc>
        <w:tcPr>
          <w:tcW w:w="3120" w:type="dxa"/>
        </w:tcPr>
        <w:p w14:paraId="3575E7F2" w14:textId="14B2268C" w:rsidR="52079C54" w:rsidRDefault="52079C54" w:rsidP="52079C54">
          <w:pPr>
            <w:pStyle w:val="Header"/>
            <w:ind w:left="-115"/>
          </w:pPr>
        </w:p>
      </w:tc>
      <w:tc>
        <w:tcPr>
          <w:tcW w:w="3120" w:type="dxa"/>
        </w:tcPr>
        <w:p w14:paraId="58ED525F" w14:textId="2E156348" w:rsidR="52079C54" w:rsidRDefault="52079C54" w:rsidP="52079C54">
          <w:pPr>
            <w:pStyle w:val="Header"/>
            <w:jc w:val="center"/>
          </w:pPr>
        </w:p>
      </w:tc>
      <w:tc>
        <w:tcPr>
          <w:tcW w:w="3120" w:type="dxa"/>
        </w:tcPr>
        <w:p w14:paraId="66C6D166" w14:textId="3ED5CD47" w:rsidR="52079C54" w:rsidRDefault="52079C54" w:rsidP="52079C54">
          <w:pPr>
            <w:pStyle w:val="Header"/>
            <w:ind w:right="-115"/>
            <w:jc w:val="right"/>
          </w:pPr>
        </w:p>
      </w:tc>
    </w:tr>
  </w:tbl>
  <w:p w14:paraId="43AD8D40" w14:textId="25173C77" w:rsidR="52079C54" w:rsidRDefault="52079C54" w:rsidP="52079C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420C" w14:textId="77777777" w:rsidR="006A5BD4" w:rsidRDefault="006A5BD4">
      <w:pPr>
        <w:spacing w:after="0" w:line="240" w:lineRule="auto"/>
      </w:pPr>
      <w:r>
        <w:separator/>
      </w:r>
    </w:p>
  </w:footnote>
  <w:footnote w:type="continuationSeparator" w:id="0">
    <w:p w14:paraId="5153060D" w14:textId="77777777" w:rsidR="006A5BD4" w:rsidRDefault="006A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2079C54" w14:paraId="0CD0F001" w14:textId="77777777" w:rsidTr="52079C54">
      <w:tc>
        <w:tcPr>
          <w:tcW w:w="3120" w:type="dxa"/>
        </w:tcPr>
        <w:p w14:paraId="2EE2DFB4" w14:textId="765E32A8" w:rsidR="52079C54" w:rsidRDefault="52079C54" w:rsidP="52079C54">
          <w:pPr>
            <w:pStyle w:val="Header"/>
            <w:ind w:left="-115"/>
          </w:pPr>
        </w:p>
      </w:tc>
      <w:tc>
        <w:tcPr>
          <w:tcW w:w="3120" w:type="dxa"/>
        </w:tcPr>
        <w:p w14:paraId="0FFEFDC2" w14:textId="3D9ECC56" w:rsidR="52079C54" w:rsidRDefault="52079C54" w:rsidP="52079C54">
          <w:pPr>
            <w:pStyle w:val="Header"/>
            <w:jc w:val="center"/>
          </w:pPr>
        </w:p>
      </w:tc>
      <w:tc>
        <w:tcPr>
          <w:tcW w:w="3120" w:type="dxa"/>
        </w:tcPr>
        <w:p w14:paraId="5E03BB96" w14:textId="62EFF92B" w:rsidR="52079C54" w:rsidRDefault="52079C54" w:rsidP="52079C54">
          <w:pPr>
            <w:pStyle w:val="Header"/>
            <w:ind w:right="-115"/>
            <w:jc w:val="right"/>
          </w:pPr>
        </w:p>
      </w:tc>
    </w:tr>
  </w:tbl>
  <w:p w14:paraId="6ECDD424" w14:textId="53574348" w:rsidR="52079C54" w:rsidRDefault="52079C54" w:rsidP="52079C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36107"/>
    <w:multiLevelType w:val="hybridMultilevel"/>
    <w:tmpl w:val="2B442AC2"/>
    <w:lvl w:ilvl="0" w:tplc="E1BEF7AC">
      <w:start w:val="1"/>
      <w:numFmt w:val="bullet"/>
      <w:lvlText w:val=""/>
      <w:lvlJc w:val="left"/>
      <w:pPr>
        <w:ind w:left="720" w:hanging="360"/>
      </w:pPr>
      <w:rPr>
        <w:rFonts w:ascii="Symbol" w:hAnsi="Symbol" w:hint="default"/>
      </w:rPr>
    </w:lvl>
    <w:lvl w:ilvl="1" w:tplc="4134D0E8">
      <w:start w:val="1"/>
      <w:numFmt w:val="bullet"/>
      <w:lvlText w:val="o"/>
      <w:lvlJc w:val="left"/>
      <w:pPr>
        <w:ind w:left="1440" w:hanging="360"/>
      </w:pPr>
      <w:rPr>
        <w:rFonts w:ascii="Courier New" w:hAnsi="Courier New" w:hint="default"/>
      </w:rPr>
    </w:lvl>
    <w:lvl w:ilvl="2" w:tplc="DBB8A27C">
      <w:start w:val="1"/>
      <w:numFmt w:val="bullet"/>
      <w:lvlText w:val=""/>
      <w:lvlJc w:val="left"/>
      <w:pPr>
        <w:ind w:left="2160" w:hanging="360"/>
      </w:pPr>
      <w:rPr>
        <w:rFonts w:ascii="Wingdings" w:hAnsi="Wingdings" w:hint="default"/>
      </w:rPr>
    </w:lvl>
    <w:lvl w:ilvl="3" w:tplc="DCAC2D12">
      <w:start w:val="1"/>
      <w:numFmt w:val="bullet"/>
      <w:lvlText w:val=""/>
      <w:lvlJc w:val="left"/>
      <w:pPr>
        <w:ind w:left="2880" w:hanging="360"/>
      </w:pPr>
      <w:rPr>
        <w:rFonts w:ascii="Symbol" w:hAnsi="Symbol" w:hint="default"/>
      </w:rPr>
    </w:lvl>
    <w:lvl w:ilvl="4" w:tplc="9BAA42F6">
      <w:start w:val="1"/>
      <w:numFmt w:val="bullet"/>
      <w:lvlText w:val="o"/>
      <w:lvlJc w:val="left"/>
      <w:pPr>
        <w:ind w:left="3600" w:hanging="360"/>
      </w:pPr>
      <w:rPr>
        <w:rFonts w:ascii="Courier New" w:hAnsi="Courier New" w:hint="default"/>
      </w:rPr>
    </w:lvl>
    <w:lvl w:ilvl="5" w:tplc="555629E8">
      <w:start w:val="1"/>
      <w:numFmt w:val="bullet"/>
      <w:lvlText w:val=""/>
      <w:lvlJc w:val="left"/>
      <w:pPr>
        <w:ind w:left="4320" w:hanging="360"/>
      </w:pPr>
      <w:rPr>
        <w:rFonts w:ascii="Wingdings" w:hAnsi="Wingdings" w:hint="default"/>
      </w:rPr>
    </w:lvl>
    <w:lvl w:ilvl="6" w:tplc="FB2663E8">
      <w:start w:val="1"/>
      <w:numFmt w:val="bullet"/>
      <w:lvlText w:val=""/>
      <w:lvlJc w:val="left"/>
      <w:pPr>
        <w:ind w:left="5040" w:hanging="360"/>
      </w:pPr>
      <w:rPr>
        <w:rFonts w:ascii="Symbol" w:hAnsi="Symbol" w:hint="default"/>
      </w:rPr>
    </w:lvl>
    <w:lvl w:ilvl="7" w:tplc="269215A2">
      <w:start w:val="1"/>
      <w:numFmt w:val="bullet"/>
      <w:lvlText w:val="o"/>
      <w:lvlJc w:val="left"/>
      <w:pPr>
        <w:ind w:left="5760" w:hanging="360"/>
      </w:pPr>
      <w:rPr>
        <w:rFonts w:ascii="Courier New" w:hAnsi="Courier New" w:hint="default"/>
      </w:rPr>
    </w:lvl>
    <w:lvl w:ilvl="8" w:tplc="4028AB8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EC7D64"/>
    <w:rsid w:val="001F2430"/>
    <w:rsid w:val="002656E5"/>
    <w:rsid w:val="0033535F"/>
    <w:rsid w:val="00383421"/>
    <w:rsid w:val="00400BD2"/>
    <w:rsid w:val="00552165"/>
    <w:rsid w:val="00594AE0"/>
    <w:rsid w:val="00651787"/>
    <w:rsid w:val="006862C3"/>
    <w:rsid w:val="00694D4B"/>
    <w:rsid w:val="006A5BD4"/>
    <w:rsid w:val="008802AC"/>
    <w:rsid w:val="009C2E4D"/>
    <w:rsid w:val="00AC592F"/>
    <w:rsid w:val="00BB0485"/>
    <w:rsid w:val="00E656C9"/>
    <w:rsid w:val="3AF80574"/>
    <w:rsid w:val="3BEC7D64"/>
    <w:rsid w:val="52079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FAF1"/>
  <w15:chartTrackingRefBased/>
  <w15:docId w15:val="{B2AC438B-A8AD-465C-B112-D4589888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383421"/>
    <w:rPr>
      <w:color w:val="0563C1" w:themeColor="hyperlink"/>
      <w:u w:val="single"/>
    </w:rPr>
  </w:style>
  <w:style w:type="paragraph" w:styleId="BalloonText">
    <w:name w:val="Balloon Text"/>
    <w:basedOn w:val="Normal"/>
    <w:link w:val="BalloonTextChar"/>
    <w:uiPriority w:val="99"/>
    <w:semiHidden/>
    <w:unhideWhenUsed/>
    <w:rsid w:val="00552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coleman@cpeh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037F-F454-4D4A-910E-EDAF6A97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Lee</dc:creator>
  <cp:keywords/>
  <dc:description/>
  <cp:lastModifiedBy>Ronald Coleman</cp:lastModifiedBy>
  <cp:revision>2</cp:revision>
  <dcterms:created xsi:type="dcterms:W3CDTF">2021-03-23T19:42:00Z</dcterms:created>
  <dcterms:modified xsi:type="dcterms:W3CDTF">2021-03-23T19:42:00Z</dcterms:modified>
</cp:coreProperties>
</file>